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69439" w14:textId="77777777" w:rsidR="0088146D" w:rsidRPr="002257EC" w:rsidRDefault="0088146D" w:rsidP="0088146D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 w:rsidRPr="002257EC">
        <w:rPr>
          <w:b/>
          <w:sz w:val="24"/>
          <w:szCs w:val="24"/>
        </w:rPr>
        <w:t>UCHWAŁA NR ....../XXVIII/2026</w:t>
      </w:r>
    </w:p>
    <w:p w14:paraId="0DA0F752" w14:textId="77777777" w:rsidR="0088146D" w:rsidRPr="002257EC" w:rsidRDefault="0088146D" w:rsidP="005B2762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2257EC">
        <w:rPr>
          <w:b/>
          <w:sz w:val="24"/>
          <w:szCs w:val="24"/>
        </w:rPr>
        <w:t>RADY MIEJSKIEJ W RADZYMINIE</w:t>
      </w:r>
    </w:p>
    <w:p w14:paraId="733CC97F" w14:textId="77777777" w:rsidR="0088146D" w:rsidRPr="002257EC" w:rsidRDefault="0088146D" w:rsidP="005B2762">
      <w:pPr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2257EC">
        <w:rPr>
          <w:b/>
          <w:sz w:val="24"/>
          <w:szCs w:val="24"/>
        </w:rPr>
        <w:t xml:space="preserve">z dnia </w:t>
      </w:r>
      <w:r w:rsidR="008447F3">
        <w:rPr>
          <w:b/>
          <w:sz w:val="24"/>
          <w:szCs w:val="24"/>
        </w:rPr>
        <w:t>25 maja</w:t>
      </w:r>
      <w:r w:rsidRPr="002257EC">
        <w:rPr>
          <w:b/>
          <w:sz w:val="24"/>
          <w:szCs w:val="24"/>
        </w:rPr>
        <w:t xml:space="preserve"> 202</w:t>
      </w:r>
      <w:r w:rsidR="008447F3">
        <w:rPr>
          <w:b/>
          <w:sz w:val="24"/>
          <w:szCs w:val="24"/>
        </w:rPr>
        <w:t>6</w:t>
      </w:r>
      <w:r w:rsidRPr="002257EC">
        <w:rPr>
          <w:b/>
          <w:sz w:val="24"/>
          <w:szCs w:val="24"/>
        </w:rPr>
        <w:t xml:space="preserve"> r.</w:t>
      </w:r>
    </w:p>
    <w:p w14:paraId="7E0AFCA0" w14:textId="77777777" w:rsidR="0088146D" w:rsidRPr="002257EC" w:rsidRDefault="0088146D" w:rsidP="0088146D">
      <w:pPr>
        <w:spacing w:after="0" w:line="488" w:lineRule="auto"/>
        <w:ind w:left="0" w:right="3256" w:firstLine="0"/>
        <w:jc w:val="center"/>
        <w:rPr>
          <w:sz w:val="24"/>
          <w:szCs w:val="24"/>
        </w:rPr>
      </w:pPr>
    </w:p>
    <w:p w14:paraId="068A911F" w14:textId="77777777" w:rsidR="0088146D" w:rsidRPr="002257EC" w:rsidRDefault="00631DA6" w:rsidP="005B2762">
      <w:pPr>
        <w:spacing w:after="136" w:line="276" w:lineRule="auto"/>
        <w:ind w:left="53" w:right="1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przyjęcia wystąpienia pokontrolnego Komisji Rewizyjnej Rada Miejska </w:t>
      </w:r>
      <w:r>
        <w:rPr>
          <w:b/>
          <w:sz w:val="24"/>
          <w:szCs w:val="24"/>
        </w:rPr>
        <w:br/>
        <w:t>w Radzyminie</w:t>
      </w:r>
    </w:p>
    <w:p w14:paraId="0CEE03A5" w14:textId="77777777" w:rsidR="00D3285A" w:rsidRPr="002257EC" w:rsidRDefault="00D3285A">
      <w:pPr>
        <w:rPr>
          <w:sz w:val="24"/>
          <w:szCs w:val="24"/>
        </w:rPr>
      </w:pPr>
    </w:p>
    <w:p w14:paraId="220E78F5" w14:textId="23F7B538" w:rsidR="0088146D" w:rsidRPr="002257EC" w:rsidRDefault="0088146D" w:rsidP="002257EC">
      <w:pPr>
        <w:ind w:left="0" w:firstLine="0"/>
        <w:rPr>
          <w:bCs/>
          <w:sz w:val="24"/>
          <w:szCs w:val="24"/>
        </w:rPr>
      </w:pPr>
      <w:r w:rsidRPr="002257EC">
        <w:rPr>
          <w:sz w:val="24"/>
          <w:szCs w:val="24"/>
        </w:rPr>
        <w:t xml:space="preserve">Na podstawie art. 18a ust. 1 ustawy z dnia 8 marca 1990 r. o samorządzie gminnym (Dz. U. </w:t>
      </w:r>
      <w:r w:rsidR="005B2762">
        <w:rPr>
          <w:sz w:val="24"/>
          <w:szCs w:val="24"/>
        </w:rPr>
        <w:br/>
      </w:r>
      <w:r w:rsidRPr="002257EC">
        <w:rPr>
          <w:sz w:val="24"/>
          <w:szCs w:val="24"/>
        </w:rPr>
        <w:t>z 202</w:t>
      </w:r>
      <w:r w:rsidR="008325EF">
        <w:rPr>
          <w:sz w:val="24"/>
          <w:szCs w:val="24"/>
        </w:rPr>
        <w:t>6</w:t>
      </w:r>
      <w:r w:rsidRPr="002257EC">
        <w:rPr>
          <w:sz w:val="24"/>
          <w:szCs w:val="24"/>
        </w:rPr>
        <w:t xml:space="preserve"> r., poz.</w:t>
      </w:r>
      <w:r w:rsidR="008325EF">
        <w:rPr>
          <w:sz w:val="24"/>
          <w:szCs w:val="24"/>
        </w:rPr>
        <w:t xml:space="preserve"> 662</w:t>
      </w:r>
      <w:r w:rsidRPr="002257EC">
        <w:rPr>
          <w:sz w:val="24"/>
          <w:szCs w:val="24"/>
        </w:rPr>
        <w:t>) oraz §</w:t>
      </w:r>
      <w:r w:rsidRPr="002257EC">
        <w:rPr>
          <w:noProof/>
          <w:sz w:val="24"/>
          <w:szCs w:val="24"/>
        </w:rPr>
        <w:t xml:space="preserve"> </w:t>
      </w:r>
      <w:r w:rsidRPr="002257EC">
        <w:rPr>
          <w:sz w:val="24"/>
          <w:szCs w:val="24"/>
        </w:rPr>
        <w:t xml:space="preserve">74 ust. 1 i 2 Statutu Gminy Radzymin </w:t>
      </w:r>
      <w:r w:rsidRPr="002257EC">
        <w:rPr>
          <w:bCs/>
          <w:sz w:val="24"/>
          <w:szCs w:val="24"/>
        </w:rPr>
        <w:t xml:space="preserve">uchwalonego uchwałą Nr 8/III/2011 Rady Miejskiej w Radzyminie z dnia 26 stycznia 2011 r. w sprawie uchwalenia Statutu Gminy Radzymin (Dz. Urz. Woj. </w:t>
      </w:r>
      <w:proofErr w:type="spellStart"/>
      <w:r w:rsidRPr="002257EC">
        <w:rPr>
          <w:bCs/>
          <w:sz w:val="24"/>
          <w:szCs w:val="24"/>
        </w:rPr>
        <w:t>Maz</w:t>
      </w:r>
      <w:proofErr w:type="spellEnd"/>
      <w:r w:rsidRPr="002257EC">
        <w:rPr>
          <w:bCs/>
          <w:sz w:val="24"/>
          <w:szCs w:val="24"/>
        </w:rPr>
        <w:t xml:space="preserve">. z 2013 r., poz. 647 z </w:t>
      </w:r>
      <w:proofErr w:type="spellStart"/>
      <w:r w:rsidRPr="002257EC">
        <w:rPr>
          <w:bCs/>
          <w:sz w:val="24"/>
          <w:szCs w:val="24"/>
        </w:rPr>
        <w:t>późn</w:t>
      </w:r>
      <w:proofErr w:type="spellEnd"/>
      <w:r w:rsidRPr="002257EC">
        <w:rPr>
          <w:bCs/>
          <w:sz w:val="24"/>
          <w:szCs w:val="24"/>
        </w:rPr>
        <w:t>. zm.) Rada Miejska w Radzyminie uchwala, co następuje:</w:t>
      </w:r>
    </w:p>
    <w:p w14:paraId="20430255" w14:textId="77777777" w:rsidR="0088146D" w:rsidRPr="002257EC" w:rsidRDefault="0088146D" w:rsidP="0088146D">
      <w:pPr>
        <w:rPr>
          <w:bCs/>
          <w:sz w:val="24"/>
          <w:szCs w:val="24"/>
        </w:rPr>
      </w:pPr>
    </w:p>
    <w:p w14:paraId="45BD3A9D" w14:textId="77777777" w:rsidR="00631DA6" w:rsidRDefault="00631DA6" w:rsidP="002257EC">
      <w:pPr>
        <w:spacing w:after="134"/>
        <w:ind w:left="7" w:right="7" w:hanging="7"/>
        <w:rPr>
          <w:sz w:val="24"/>
          <w:szCs w:val="24"/>
        </w:rPr>
      </w:pPr>
      <w:r>
        <w:rPr>
          <w:b/>
          <w:sz w:val="24"/>
          <w:szCs w:val="24"/>
        </w:rPr>
        <w:t>§</w:t>
      </w:r>
      <w:r w:rsidR="002257EC" w:rsidRPr="002257EC">
        <w:rPr>
          <w:b/>
          <w:sz w:val="24"/>
          <w:szCs w:val="24"/>
        </w:rPr>
        <w:t>1.</w:t>
      </w:r>
      <w:r w:rsidR="002257EC" w:rsidRPr="002257EC">
        <w:rPr>
          <w:sz w:val="24"/>
          <w:szCs w:val="24"/>
        </w:rPr>
        <w:t xml:space="preserve"> Przyjmuje się </w:t>
      </w:r>
      <w:r>
        <w:rPr>
          <w:sz w:val="24"/>
          <w:szCs w:val="24"/>
        </w:rPr>
        <w:t xml:space="preserve">wystąpienie pokontrolne </w:t>
      </w:r>
      <w:r w:rsidR="002257EC" w:rsidRPr="002257EC">
        <w:rPr>
          <w:sz w:val="24"/>
          <w:szCs w:val="24"/>
        </w:rPr>
        <w:t xml:space="preserve">Komisji Rewizyjnej Rady </w:t>
      </w:r>
      <w:r w:rsidR="002257EC">
        <w:rPr>
          <w:sz w:val="24"/>
          <w:szCs w:val="24"/>
        </w:rPr>
        <w:t>Miejskiej</w:t>
      </w:r>
      <w:r w:rsidR="002257EC" w:rsidRPr="002257EC">
        <w:rPr>
          <w:sz w:val="24"/>
          <w:szCs w:val="24"/>
        </w:rPr>
        <w:t xml:space="preserve"> </w:t>
      </w:r>
      <w:r w:rsidR="005B2762">
        <w:rPr>
          <w:sz w:val="24"/>
          <w:szCs w:val="24"/>
        </w:rPr>
        <w:br/>
      </w:r>
      <w:r w:rsidR="002257EC">
        <w:rPr>
          <w:sz w:val="24"/>
          <w:szCs w:val="24"/>
        </w:rPr>
        <w:t>w Radzyminie</w:t>
      </w:r>
      <w:r w:rsidR="002257EC" w:rsidRPr="002257EC">
        <w:rPr>
          <w:sz w:val="24"/>
          <w:szCs w:val="24"/>
        </w:rPr>
        <w:t xml:space="preserve"> z kontroli przeprowadzonej w Radzymińskim Ośrodku Kultury i Sportu, stanowiące </w:t>
      </w:r>
      <w:r>
        <w:rPr>
          <w:sz w:val="24"/>
          <w:szCs w:val="24"/>
        </w:rPr>
        <w:t xml:space="preserve">załącznik do niniejszej uchwały. </w:t>
      </w:r>
    </w:p>
    <w:p w14:paraId="077E7AAC" w14:textId="77777777" w:rsidR="00631DA6" w:rsidRDefault="00631DA6" w:rsidP="00631DA6">
      <w:pPr>
        <w:spacing w:after="134"/>
        <w:ind w:left="7" w:right="7" w:hanging="7"/>
        <w:rPr>
          <w:sz w:val="24"/>
          <w:szCs w:val="24"/>
        </w:rPr>
      </w:pPr>
    </w:p>
    <w:p w14:paraId="1A34BF99" w14:textId="77777777" w:rsidR="0088146D" w:rsidRPr="00631DA6" w:rsidRDefault="002257EC" w:rsidP="00631DA6">
      <w:pPr>
        <w:spacing w:after="134"/>
        <w:ind w:left="7" w:right="7" w:hanging="7"/>
        <w:rPr>
          <w:sz w:val="24"/>
          <w:szCs w:val="24"/>
        </w:rPr>
      </w:pPr>
      <w:r w:rsidRPr="002257EC">
        <w:rPr>
          <w:b/>
          <w:sz w:val="24"/>
          <w:szCs w:val="24"/>
        </w:rPr>
        <w:t>§ 2.</w:t>
      </w:r>
      <w:r w:rsidRPr="002257EC">
        <w:rPr>
          <w:sz w:val="24"/>
          <w:szCs w:val="24"/>
        </w:rPr>
        <w:t xml:space="preserve"> Uchwała wchodzi w życie z dniem podjęcia.</w:t>
      </w:r>
    </w:p>
    <w:p w14:paraId="74A72360" w14:textId="77777777" w:rsidR="0088146D" w:rsidRDefault="0088146D">
      <w:pPr>
        <w:rPr>
          <w:sz w:val="24"/>
          <w:szCs w:val="24"/>
        </w:rPr>
      </w:pPr>
    </w:p>
    <w:p w14:paraId="4B050F10" w14:textId="77777777" w:rsidR="0088146D" w:rsidRDefault="0088146D">
      <w:pPr>
        <w:rPr>
          <w:sz w:val="24"/>
          <w:szCs w:val="24"/>
        </w:rPr>
      </w:pPr>
    </w:p>
    <w:p w14:paraId="1C1FB5F3" w14:textId="77777777" w:rsidR="00631DA6" w:rsidRDefault="00631DA6">
      <w:pPr>
        <w:rPr>
          <w:sz w:val="24"/>
          <w:szCs w:val="24"/>
        </w:rPr>
      </w:pPr>
    </w:p>
    <w:p w14:paraId="0793FCA7" w14:textId="77777777" w:rsidR="008F0F6F" w:rsidRDefault="008F0F6F">
      <w:pPr>
        <w:rPr>
          <w:sz w:val="24"/>
          <w:szCs w:val="24"/>
        </w:rPr>
      </w:pPr>
    </w:p>
    <w:p w14:paraId="5350502F" w14:textId="77777777" w:rsidR="008F0F6F" w:rsidRDefault="008F0F6F">
      <w:pPr>
        <w:rPr>
          <w:sz w:val="24"/>
          <w:szCs w:val="24"/>
        </w:rPr>
      </w:pPr>
      <w:bookmarkStart w:id="0" w:name="_GoBack"/>
      <w:bookmarkEnd w:id="0"/>
    </w:p>
    <w:p w14:paraId="4B20F9C9" w14:textId="77777777" w:rsidR="008F0F6F" w:rsidRDefault="008F0F6F">
      <w:pPr>
        <w:rPr>
          <w:sz w:val="24"/>
          <w:szCs w:val="24"/>
        </w:rPr>
      </w:pPr>
    </w:p>
    <w:p w14:paraId="4B1B5E46" w14:textId="77777777" w:rsidR="008F0F6F" w:rsidRDefault="008F0F6F">
      <w:pPr>
        <w:rPr>
          <w:sz w:val="24"/>
          <w:szCs w:val="24"/>
        </w:rPr>
      </w:pPr>
    </w:p>
    <w:p w14:paraId="73FC7D7E" w14:textId="77777777" w:rsidR="008F0F6F" w:rsidRDefault="008F0F6F">
      <w:pPr>
        <w:rPr>
          <w:sz w:val="24"/>
          <w:szCs w:val="24"/>
        </w:rPr>
      </w:pPr>
    </w:p>
    <w:p w14:paraId="3867315A" w14:textId="77777777" w:rsidR="008F0F6F" w:rsidRDefault="008F0F6F">
      <w:pPr>
        <w:rPr>
          <w:sz w:val="24"/>
          <w:szCs w:val="24"/>
        </w:rPr>
      </w:pPr>
    </w:p>
    <w:p w14:paraId="69DD16CB" w14:textId="77777777" w:rsidR="008F0F6F" w:rsidRDefault="008F0F6F">
      <w:pPr>
        <w:rPr>
          <w:sz w:val="24"/>
          <w:szCs w:val="24"/>
        </w:rPr>
      </w:pPr>
    </w:p>
    <w:p w14:paraId="61C0666D" w14:textId="77777777" w:rsidR="008F0F6F" w:rsidRDefault="008F0F6F">
      <w:pPr>
        <w:rPr>
          <w:sz w:val="24"/>
          <w:szCs w:val="24"/>
        </w:rPr>
      </w:pPr>
    </w:p>
    <w:p w14:paraId="2D264707" w14:textId="77777777" w:rsidR="008F0F6F" w:rsidRDefault="008F0F6F">
      <w:pPr>
        <w:rPr>
          <w:sz w:val="24"/>
          <w:szCs w:val="24"/>
        </w:rPr>
      </w:pPr>
    </w:p>
    <w:p w14:paraId="307FB2CF" w14:textId="77777777" w:rsidR="008F0F6F" w:rsidRDefault="008F0F6F">
      <w:pPr>
        <w:rPr>
          <w:sz w:val="24"/>
          <w:szCs w:val="24"/>
        </w:rPr>
      </w:pPr>
    </w:p>
    <w:p w14:paraId="2DFB6BD1" w14:textId="77777777" w:rsidR="008F0F6F" w:rsidRDefault="008F0F6F">
      <w:pPr>
        <w:rPr>
          <w:sz w:val="24"/>
          <w:szCs w:val="24"/>
        </w:rPr>
      </w:pPr>
    </w:p>
    <w:p w14:paraId="216408BE" w14:textId="77777777" w:rsidR="008F0F6F" w:rsidRDefault="008F0F6F">
      <w:pPr>
        <w:rPr>
          <w:sz w:val="24"/>
          <w:szCs w:val="24"/>
        </w:rPr>
      </w:pPr>
    </w:p>
    <w:p w14:paraId="15B0365F" w14:textId="77777777" w:rsidR="008F0F6F" w:rsidRDefault="008F0F6F">
      <w:pPr>
        <w:rPr>
          <w:sz w:val="24"/>
          <w:szCs w:val="24"/>
        </w:rPr>
      </w:pPr>
    </w:p>
    <w:p w14:paraId="242289B8" w14:textId="77777777" w:rsidR="008F0F6F" w:rsidRDefault="008F0F6F">
      <w:pPr>
        <w:rPr>
          <w:sz w:val="24"/>
          <w:szCs w:val="24"/>
        </w:rPr>
      </w:pPr>
    </w:p>
    <w:p w14:paraId="5C0A1BF4" w14:textId="77777777" w:rsidR="00631DA6" w:rsidRDefault="00631DA6">
      <w:pPr>
        <w:rPr>
          <w:sz w:val="24"/>
          <w:szCs w:val="24"/>
        </w:rPr>
      </w:pPr>
    </w:p>
    <w:p w14:paraId="0ADF3DC1" w14:textId="77777777" w:rsidR="00631DA6" w:rsidRDefault="00631DA6">
      <w:pPr>
        <w:rPr>
          <w:sz w:val="24"/>
          <w:szCs w:val="24"/>
        </w:rPr>
      </w:pPr>
    </w:p>
    <w:p w14:paraId="3150CDFC" w14:textId="77777777" w:rsidR="00631DA6" w:rsidRDefault="00631DA6">
      <w:pPr>
        <w:rPr>
          <w:sz w:val="24"/>
          <w:szCs w:val="24"/>
        </w:rPr>
      </w:pPr>
    </w:p>
    <w:p w14:paraId="03FB1138" w14:textId="77777777" w:rsidR="009425C3" w:rsidRPr="009425C3" w:rsidRDefault="009425C3" w:rsidP="009425C3">
      <w:pPr>
        <w:pStyle w:val="Nagwek2"/>
        <w:jc w:val="center"/>
        <w:rPr>
          <w:sz w:val="24"/>
          <w:szCs w:val="24"/>
        </w:rPr>
      </w:pPr>
      <w:r w:rsidRPr="009425C3">
        <w:rPr>
          <w:sz w:val="24"/>
          <w:szCs w:val="24"/>
        </w:rPr>
        <w:t>Uzasadnienie</w:t>
      </w:r>
    </w:p>
    <w:p w14:paraId="51D04E8F" w14:textId="77777777" w:rsidR="009425C3" w:rsidRDefault="009425C3" w:rsidP="009425C3">
      <w:pPr>
        <w:pStyle w:val="NormalnyWeb"/>
        <w:jc w:val="both"/>
      </w:pPr>
      <w:r>
        <w:t>Zgodnie z art. 18a ust. 1 ustawy z dnia 8 marca 1990 r. o samorządzie gminnym, rada gminy sprawuje kontrolę działalności wójta, gminnych jednostek organizacyjnych oraz jednostek pomocniczych gminy poprzez Komisję Rewizyjną.</w:t>
      </w:r>
    </w:p>
    <w:p w14:paraId="3F62AD26" w14:textId="77777777" w:rsidR="009425C3" w:rsidRDefault="009425C3" w:rsidP="009425C3">
      <w:pPr>
        <w:pStyle w:val="NormalnyWeb"/>
        <w:jc w:val="both"/>
      </w:pPr>
      <w:r>
        <w:t>Ponadto, zgodnie z § 74 ust. 1 Statutu Gminy Radzymin, Komisja Rewizyjna, na podstawie protokołu kontroli, opracowuje w terminie 7 dni od dnia sporządzenia protokołu wystąpienie pokontrolne zawierające wnioski i zalecenia usunięcia stwierdzonych nieprawidłowości, wskazując termin ich wykonania. Z kolei § 74 ust. 2 Statutu Gminy Radzymin stanowi, że wystąpienie pokontrolne, po odczytaniu protokołu z kontroli, przyjmuje Rada w formie uchwały.</w:t>
      </w:r>
    </w:p>
    <w:p w14:paraId="4799658B" w14:textId="77777777" w:rsidR="009425C3" w:rsidRDefault="009425C3" w:rsidP="009425C3">
      <w:pPr>
        <w:pStyle w:val="NormalnyWeb"/>
        <w:jc w:val="both"/>
      </w:pPr>
      <w:r>
        <w:t>Komisja Rewizyjna Rady Miejskiej w Radzyminie przeprowadziła kontrolę działalności Radzymińskiego Ośrodka Kultury i Sportu, realizując zadania wynikające z planu pracy Komisji oraz postanowień Statutu Gminy Radzymin. W wyniku przeprowadzonej kontroli Komisja sformułowała wnioski i zalecenia pokontrolne mające na celu usprawnienie funkcjonowania kontrolowanej jednostki oraz zapewnienie prawidłowej realizacji jej zadań statutowych.</w:t>
      </w:r>
    </w:p>
    <w:p w14:paraId="62D95E0F" w14:textId="5C361DAA" w:rsidR="009425C3" w:rsidRDefault="009425C3" w:rsidP="009425C3">
      <w:pPr>
        <w:pStyle w:val="NormalnyWeb"/>
        <w:jc w:val="both"/>
      </w:pPr>
      <w:r>
        <w:t xml:space="preserve">Przyjęcie przez Radę Miejską w Radzyminie </w:t>
      </w:r>
      <w:r w:rsidR="008325EF">
        <w:t>wystąpienia pokontrolnego Komisji Rewizyjnej</w:t>
      </w:r>
      <w:r>
        <w:t xml:space="preserve"> stanowi realizację kompetencji kontrolnych organu stanowiącego gminy oraz wykonanie obowiązków wynikających ze Statutu Gminy Radzymin.</w:t>
      </w:r>
    </w:p>
    <w:p w14:paraId="47FA5A1D" w14:textId="77777777" w:rsidR="009425C3" w:rsidRDefault="009425C3" w:rsidP="009425C3">
      <w:pPr>
        <w:pStyle w:val="NormalnyWeb"/>
        <w:jc w:val="both"/>
      </w:pPr>
      <w:r>
        <w:t>W związku z powyższym podjęcie niniejszej uchwały jest zasadne.</w:t>
      </w:r>
    </w:p>
    <w:p w14:paraId="6A5FDD41" w14:textId="77777777" w:rsidR="008F0F6F" w:rsidRDefault="008F0F6F">
      <w:pPr>
        <w:rPr>
          <w:sz w:val="24"/>
          <w:szCs w:val="24"/>
        </w:rPr>
      </w:pPr>
    </w:p>
    <w:p w14:paraId="7AB7F4D4" w14:textId="77777777" w:rsidR="0069660E" w:rsidRDefault="0069660E">
      <w:pPr>
        <w:rPr>
          <w:sz w:val="24"/>
          <w:szCs w:val="24"/>
        </w:rPr>
      </w:pPr>
    </w:p>
    <w:p w14:paraId="7E3870A2" w14:textId="77777777" w:rsidR="0069660E" w:rsidRDefault="0069660E">
      <w:pPr>
        <w:rPr>
          <w:sz w:val="24"/>
          <w:szCs w:val="24"/>
        </w:rPr>
      </w:pPr>
    </w:p>
    <w:p w14:paraId="5645EE5C" w14:textId="77777777" w:rsidR="0069660E" w:rsidRDefault="0069660E">
      <w:pPr>
        <w:rPr>
          <w:sz w:val="24"/>
          <w:szCs w:val="24"/>
        </w:rPr>
      </w:pPr>
    </w:p>
    <w:p w14:paraId="53D634D5" w14:textId="77777777" w:rsidR="0069660E" w:rsidRDefault="0069660E">
      <w:pPr>
        <w:rPr>
          <w:sz w:val="24"/>
          <w:szCs w:val="24"/>
        </w:rPr>
      </w:pPr>
    </w:p>
    <w:p w14:paraId="5BB5C16B" w14:textId="77777777" w:rsidR="0069660E" w:rsidRDefault="0069660E">
      <w:pPr>
        <w:rPr>
          <w:sz w:val="24"/>
          <w:szCs w:val="24"/>
        </w:rPr>
      </w:pPr>
    </w:p>
    <w:p w14:paraId="66CA113E" w14:textId="77777777" w:rsidR="0069660E" w:rsidRDefault="0069660E">
      <w:pPr>
        <w:rPr>
          <w:sz w:val="24"/>
          <w:szCs w:val="24"/>
        </w:rPr>
      </w:pPr>
    </w:p>
    <w:p w14:paraId="71045C86" w14:textId="77777777" w:rsidR="0069660E" w:rsidRDefault="0069660E">
      <w:pPr>
        <w:rPr>
          <w:sz w:val="24"/>
          <w:szCs w:val="24"/>
        </w:rPr>
      </w:pPr>
    </w:p>
    <w:p w14:paraId="4F5E7B30" w14:textId="77777777" w:rsidR="0069660E" w:rsidRDefault="0069660E">
      <w:pPr>
        <w:rPr>
          <w:sz w:val="24"/>
          <w:szCs w:val="24"/>
        </w:rPr>
      </w:pPr>
    </w:p>
    <w:p w14:paraId="76A8B9AD" w14:textId="77777777" w:rsidR="0069660E" w:rsidRDefault="0069660E">
      <w:pPr>
        <w:rPr>
          <w:sz w:val="24"/>
          <w:szCs w:val="24"/>
        </w:rPr>
      </w:pPr>
    </w:p>
    <w:p w14:paraId="41E80880" w14:textId="77777777" w:rsidR="0069660E" w:rsidRDefault="0069660E">
      <w:pPr>
        <w:rPr>
          <w:sz w:val="24"/>
          <w:szCs w:val="24"/>
        </w:rPr>
      </w:pPr>
    </w:p>
    <w:p w14:paraId="7D9AEAA4" w14:textId="77777777" w:rsidR="0069660E" w:rsidRDefault="0069660E">
      <w:pPr>
        <w:rPr>
          <w:sz w:val="24"/>
          <w:szCs w:val="24"/>
        </w:rPr>
      </w:pPr>
    </w:p>
    <w:p w14:paraId="3B28951B" w14:textId="77777777" w:rsidR="0069660E" w:rsidRDefault="0069660E">
      <w:pPr>
        <w:rPr>
          <w:sz w:val="24"/>
          <w:szCs w:val="24"/>
        </w:rPr>
      </w:pPr>
    </w:p>
    <w:p w14:paraId="1EED0CA5" w14:textId="77777777" w:rsidR="0069660E" w:rsidRDefault="0069660E">
      <w:pPr>
        <w:rPr>
          <w:sz w:val="24"/>
          <w:szCs w:val="24"/>
        </w:rPr>
      </w:pPr>
    </w:p>
    <w:p w14:paraId="070AD5A2" w14:textId="77777777" w:rsidR="0069660E" w:rsidRDefault="0069660E">
      <w:pPr>
        <w:rPr>
          <w:sz w:val="24"/>
          <w:szCs w:val="24"/>
        </w:rPr>
      </w:pPr>
    </w:p>
    <w:p w14:paraId="45B26A76" w14:textId="77777777" w:rsidR="0069660E" w:rsidRDefault="0069660E">
      <w:pPr>
        <w:rPr>
          <w:sz w:val="24"/>
          <w:szCs w:val="24"/>
        </w:rPr>
      </w:pPr>
    </w:p>
    <w:p w14:paraId="68AB1D10" w14:textId="77777777" w:rsidR="005B2762" w:rsidRDefault="008B4CC1" w:rsidP="0069660E">
      <w:pPr>
        <w:pStyle w:val="Bezodstpw"/>
        <w:rPr>
          <w:rStyle w:val="Pogrubienie"/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lastRenderedPageBreak/>
        <w:tab/>
      </w:r>
      <w:r w:rsidR="0069660E">
        <w:rPr>
          <w:rStyle w:val="Pogrubienie"/>
          <w:rFonts w:ascii="Times New Roman" w:hAnsi="Times New Roman" w:cs="Times New Roman"/>
        </w:rPr>
        <w:tab/>
      </w:r>
      <w:r w:rsidR="0069660E">
        <w:rPr>
          <w:rStyle w:val="Pogrubienie"/>
          <w:rFonts w:ascii="Times New Roman" w:hAnsi="Times New Roman" w:cs="Times New Roman"/>
        </w:rPr>
        <w:tab/>
      </w:r>
      <w:r w:rsidR="0069660E">
        <w:rPr>
          <w:rStyle w:val="Pogrubienie"/>
          <w:rFonts w:ascii="Times New Roman" w:hAnsi="Times New Roman" w:cs="Times New Roman"/>
        </w:rPr>
        <w:tab/>
      </w:r>
      <w:r w:rsidR="0069660E">
        <w:rPr>
          <w:rStyle w:val="Pogrubienie"/>
          <w:rFonts w:ascii="Times New Roman" w:hAnsi="Times New Roman" w:cs="Times New Roman"/>
        </w:rPr>
        <w:tab/>
      </w:r>
      <w:r w:rsidR="0069660E">
        <w:rPr>
          <w:rStyle w:val="Pogrubienie"/>
          <w:rFonts w:ascii="Times New Roman" w:hAnsi="Times New Roman" w:cs="Times New Roman"/>
        </w:rPr>
        <w:tab/>
      </w:r>
      <w:r w:rsidR="0069660E">
        <w:rPr>
          <w:rStyle w:val="Pogrubienie"/>
          <w:rFonts w:ascii="Times New Roman" w:hAnsi="Times New Roman" w:cs="Times New Roman"/>
        </w:rPr>
        <w:tab/>
      </w:r>
      <w:r w:rsidR="0069660E">
        <w:rPr>
          <w:rStyle w:val="Pogrubienie"/>
          <w:rFonts w:ascii="Times New Roman" w:hAnsi="Times New Roman" w:cs="Times New Roman"/>
        </w:rPr>
        <w:tab/>
      </w:r>
    </w:p>
    <w:p w14:paraId="0786D3BF" w14:textId="77777777" w:rsidR="0069660E" w:rsidRPr="00A15350" w:rsidRDefault="005B2762" w:rsidP="0069660E">
      <w:pPr>
        <w:pStyle w:val="Bezodstpw"/>
        <w:rPr>
          <w:rStyle w:val="Pogrubienie"/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 w:rsidR="0069660E" w:rsidRPr="00A15350">
        <w:rPr>
          <w:rStyle w:val="Pogrubienie"/>
          <w:rFonts w:ascii="Times New Roman" w:hAnsi="Times New Roman" w:cs="Times New Roman"/>
        </w:rPr>
        <w:t xml:space="preserve">Załącznik </w:t>
      </w:r>
    </w:p>
    <w:p w14:paraId="5A75ED33" w14:textId="77777777" w:rsidR="0069660E" w:rsidRPr="00A15350" w:rsidRDefault="0069660E" w:rsidP="0069660E">
      <w:pPr>
        <w:pStyle w:val="Bezodstpw"/>
        <w:rPr>
          <w:rStyle w:val="Pogrubienie"/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  <w:t>do Uchwały Nr ……/……..</w:t>
      </w:r>
      <w:r w:rsidRPr="00A15350">
        <w:rPr>
          <w:rStyle w:val="Pogrubienie"/>
          <w:rFonts w:ascii="Times New Roman" w:hAnsi="Times New Roman" w:cs="Times New Roman"/>
        </w:rPr>
        <w:t>/2026</w:t>
      </w:r>
    </w:p>
    <w:p w14:paraId="79199ACF" w14:textId="77777777" w:rsidR="0069660E" w:rsidRPr="00A15350" w:rsidRDefault="0069660E" w:rsidP="0069660E">
      <w:pPr>
        <w:pStyle w:val="Bezodstpw"/>
        <w:rPr>
          <w:rStyle w:val="Pogrubienie"/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 w:rsidRPr="00A15350">
        <w:rPr>
          <w:rStyle w:val="Pogrubienie"/>
          <w:rFonts w:ascii="Times New Roman" w:hAnsi="Times New Roman" w:cs="Times New Roman"/>
        </w:rPr>
        <w:t>Rady Miejskiej w Radzyminie</w:t>
      </w:r>
    </w:p>
    <w:p w14:paraId="6654FCDF" w14:textId="77777777" w:rsidR="0069660E" w:rsidRPr="00A15350" w:rsidRDefault="0069660E" w:rsidP="0069660E">
      <w:pPr>
        <w:pStyle w:val="Bezodstpw"/>
        <w:rPr>
          <w:rStyle w:val="Pogrubienie"/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>
        <w:rPr>
          <w:rStyle w:val="Pogrubienie"/>
          <w:rFonts w:ascii="Times New Roman" w:hAnsi="Times New Roman" w:cs="Times New Roman"/>
        </w:rPr>
        <w:tab/>
      </w:r>
      <w:r w:rsidRPr="00A15350">
        <w:rPr>
          <w:rStyle w:val="Pogrubienie"/>
          <w:rFonts w:ascii="Times New Roman" w:hAnsi="Times New Roman" w:cs="Times New Roman"/>
        </w:rPr>
        <w:t>z dnia 25 maja 2026 r.</w:t>
      </w:r>
    </w:p>
    <w:p w14:paraId="6575D2A6" w14:textId="77777777" w:rsidR="0069660E" w:rsidRDefault="0069660E" w:rsidP="0069660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41F09C3" w14:textId="77777777" w:rsidR="005B2762" w:rsidRDefault="005B2762" w:rsidP="0069660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5C66769" w14:textId="77777777" w:rsidR="008B4CC1" w:rsidRDefault="00631DA6" w:rsidP="0069660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Wystąpienie pokontrolne</w:t>
      </w:r>
      <w:r w:rsidR="0069660E">
        <w:rPr>
          <w:b/>
          <w:bCs/>
          <w:sz w:val="28"/>
          <w:szCs w:val="28"/>
        </w:rPr>
        <w:t xml:space="preserve"> Komisji Rewizyjnej Rady Miejskiej </w:t>
      </w:r>
      <w:r w:rsidR="0069660E">
        <w:rPr>
          <w:b/>
          <w:bCs/>
          <w:sz w:val="28"/>
          <w:szCs w:val="28"/>
        </w:rPr>
        <w:br/>
        <w:t xml:space="preserve">w Radzyminie </w:t>
      </w:r>
      <w:r w:rsidR="008B4CC1">
        <w:rPr>
          <w:b/>
          <w:bCs/>
          <w:sz w:val="28"/>
          <w:szCs w:val="28"/>
        </w:rPr>
        <w:t xml:space="preserve">z przeprowadzonej kontroli </w:t>
      </w:r>
      <w:r w:rsidR="008B4CC1" w:rsidRPr="008B4CC1">
        <w:rPr>
          <w:b/>
          <w:bCs/>
          <w:sz w:val="28"/>
          <w:szCs w:val="28"/>
        </w:rPr>
        <w:t>w Radzymińskim Ośrodku Kultury i Sportu</w:t>
      </w:r>
      <w:r w:rsidR="008B4CC1">
        <w:rPr>
          <w:b/>
          <w:bCs/>
          <w:sz w:val="28"/>
          <w:szCs w:val="28"/>
        </w:rPr>
        <w:t xml:space="preserve"> w dniach od 9 grudnia 2025 r. do 18 marca 2026r.</w:t>
      </w:r>
    </w:p>
    <w:p w14:paraId="077A24CE" w14:textId="77777777" w:rsidR="008B4CC1" w:rsidRDefault="008B4CC1" w:rsidP="0069660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3E29766" w14:textId="77777777" w:rsidR="008B4CC1" w:rsidRDefault="008B4CC1" w:rsidP="008B4CC1">
      <w:pPr>
        <w:spacing w:after="0" w:line="24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Wnioski pokontrolne</w:t>
      </w:r>
      <w:r w:rsidR="004E0AC9">
        <w:rPr>
          <w:b/>
          <w:bCs/>
          <w:sz w:val="28"/>
          <w:szCs w:val="28"/>
        </w:rPr>
        <w:t>:</w:t>
      </w:r>
    </w:p>
    <w:p w14:paraId="56D71678" w14:textId="77777777" w:rsidR="008B4CC1" w:rsidRPr="00B64A57" w:rsidRDefault="008B4CC1" w:rsidP="008B4CC1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Pr="00B64A57">
        <w:rPr>
          <w:rFonts w:cstheme="minorHAnsi"/>
          <w:sz w:val="24"/>
          <w:szCs w:val="24"/>
        </w:rPr>
        <w:t xml:space="preserve">Analiza dokumentacji organizacyjnej, finansowej oraz sprawozdawczej wskazuje na występowanie szeregu nieprawidłowości o charakterze organizacyjnym i finansowym. W toku kontroli ustalono, że działalność jednostki w kontrolowanym okresie była w </w:t>
      </w:r>
      <w:r>
        <w:rPr>
          <w:rFonts w:cstheme="minorHAnsi"/>
          <w:sz w:val="24"/>
          <w:szCs w:val="24"/>
        </w:rPr>
        <w:t xml:space="preserve">znacznie </w:t>
      </w:r>
      <w:r w:rsidRPr="00B64A57">
        <w:rPr>
          <w:rFonts w:cstheme="minorHAnsi"/>
          <w:sz w:val="24"/>
          <w:szCs w:val="24"/>
        </w:rPr>
        <w:t xml:space="preserve">przeważającym zakresie ukierunkowana na organizację wydarzeń o charakterze sportowym </w:t>
      </w:r>
      <w:r>
        <w:rPr>
          <w:rFonts w:cstheme="minorHAnsi"/>
          <w:sz w:val="24"/>
          <w:szCs w:val="24"/>
        </w:rPr>
        <w:br/>
      </w:r>
      <w:r w:rsidRPr="00B64A57">
        <w:rPr>
          <w:rFonts w:cstheme="minorHAnsi"/>
          <w:sz w:val="24"/>
          <w:szCs w:val="24"/>
        </w:rPr>
        <w:t xml:space="preserve">i rekreacyjnym, natomiast nie wykazano działalności kulturalnej w rozumieniu przepisów regulujących funkcjonowanie samorządowych instytucji kultury. </w:t>
      </w:r>
      <w:r>
        <w:rPr>
          <w:rFonts w:cstheme="minorHAnsi"/>
          <w:sz w:val="24"/>
          <w:szCs w:val="24"/>
        </w:rPr>
        <w:t>Wskazuje to</w:t>
      </w:r>
      <w:r w:rsidRPr="00B64A57">
        <w:rPr>
          <w:rFonts w:cstheme="minorHAnsi"/>
          <w:sz w:val="24"/>
          <w:szCs w:val="24"/>
        </w:rPr>
        <w:t xml:space="preserve"> na rozbieżność pomiędzy faktycznym</w:t>
      </w:r>
      <w:r>
        <w:rPr>
          <w:rFonts w:cstheme="minorHAnsi"/>
          <w:sz w:val="24"/>
          <w:szCs w:val="24"/>
        </w:rPr>
        <w:t xml:space="preserve">, tj. </w:t>
      </w:r>
      <w:r w:rsidRPr="00B64A57">
        <w:rPr>
          <w:rFonts w:cstheme="minorHAnsi"/>
          <w:sz w:val="24"/>
          <w:szCs w:val="24"/>
        </w:rPr>
        <w:t xml:space="preserve"> profilem działalności jednostki a jej statutowym przeznaczenie</w:t>
      </w:r>
      <w:r>
        <w:rPr>
          <w:rFonts w:cstheme="minorHAnsi"/>
          <w:sz w:val="24"/>
          <w:szCs w:val="24"/>
        </w:rPr>
        <w:t xml:space="preserve">m, w tym prognozowaniem środków i sprawozdawaniem z wydatków. </w:t>
      </w:r>
    </w:p>
    <w:p w14:paraId="1485E186" w14:textId="77777777" w:rsidR="008B4CC1" w:rsidRPr="00B64A57" w:rsidRDefault="008B4CC1" w:rsidP="008B4CC1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B64A57">
        <w:rPr>
          <w:rFonts w:cstheme="minorHAnsi"/>
          <w:sz w:val="24"/>
          <w:szCs w:val="24"/>
        </w:rPr>
        <w:t>Kontrola wykazała brak rocznych planów działalności powiązanych z planem finansowym jednostki</w:t>
      </w:r>
      <w:r>
        <w:rPr>
          <w:rFonts w:cstheme="minorHAnsi"/>
          <w:sz w:val="24"/>
          <w:szCs w:val="24"/>
        </w:rPr>
        <w:t xml:space="preserve">, w tym </w:t>
      </w:r>
      <w:r w:rsidR="003C52C0">
        <w:rPr>
          <w:rFonts w:cstheme="minorHAnsi"/>
          <w:sz w:val="24"/>
          <w:szCs w:val="24"/>
        </w:rPr>
        <w:t>wynikających</w:t>
      </w:r>
      <w:r>
        <w:rPr>
          <w:rFonts w:cstheme="minorHAnsi"/>
          <w:sz w:val="24"/>
          <w:szCs w:val="24"/>
        </w:rPr>
        <w:t xml:space="preserve"> z zapewnienia kontroli </w:t>
      </w:r>
      <w:r w:rsidR="003C52C0">
        <w:rPr>
          <w:rFonts w:cstheme="minorHAnsi"/>
          <w:sz w:val="24"/>
          <w:szCs w:val="24"/>
        </w:rPr>
        <w:t>zarządczej</w:t>
      </w:r>
      <w:r>
        <w:rPr>
          <w:rFonts w:cstheme="minorHAnsi"/>
          <w:sz w:val="24"/>
          <w:szCs w:val="24"/>
        </w:rPr>
        <w:t xml:space="preserve"> w instytucji</w:t>
      </w:r>
      <w:r w:rsidRPr="00B64A57">
        <w:rPr>
          <w:rFonts w:cstheme="minorHAnsi"/>
          <w:sz w:val="24"/>
          <w:szCs w:val="24"/>
        </w:rPr>
        <w:t>. Brak takiego planowania utrudnia ocenę celowości i efektywności wydatkowania środków publicznych oraz ogranicza możliwość sprawowania bieżącego nadzor</w:t>
      </w:r>
      <w:r>
        <w:rPr>
          <w:rFonts w:cstheme="minorHAnsi"/>
          <w:sz w:val="24"/>
          <w:szCs w:val="24"/>
        </w:rPr>
        <w:t xml:space="preserve">u przez organizatora. </w:t>
      </w:r>
    </w:p>
    <w:p w14:paraId="6F2982AE" w14:textId="77777777" w:rsidR="008B4CC1" w:rsidRDefault="008B4CC1" w:rsidP="008B4CC1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B64A57">
        <w:rPr>
          <w:rFonts w:cstheme="minorHAnsi"/>
          <w:sz w:val="24"/>
          <w:szCs w:val="24"/>
        </w:rPr>
        <w:t>W zakresie gospodarki finansowej stwierdzono</w:t>
      </w:r>
      <w:r>
        <w:rPr>
          <w:rFonts w:cstheme="minorHAnsi"/>
          <w:sz w:val="24"/>
          <w:szCs w:val="24"/>
        </w:rPr>
        <w:t>,</w:t>
      </w:r>
      <w:r w:rsidRPr="00B64A5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że wydatki były realizowane </w:t>
      </w:r>
      <w:r w:rsidRPr="00B64A57">
        <w:rPr>
          <w:rFonts w:cstheme="minorHAnsi"/>
          <w:sz w:val="24"/>
          <w:szCs w:val="24"/>
        </w:rPr>
        <w:t xml:space="preserve">bez uprzedniego udokumentowanego zamówienia lub zlecenia. </w:t>
      </w:r>
      <w:r>
        <w:rPr>
          <w:rFonts w:cstheme="minorHAnsi"/>
          <w:sz w:val="24"/>
          <w:szCs w:val="24"/>
        </w:rPr>
        <w:t>B</w:t>
      </w:r>
      <w:r w:rsidRPr="00B64A57">
        <w:rPr>
          <w:rFonts w:cstheme="minorHAnsi"/>
          <w:sz w:val="24"/>
          <w:szCs w:val="24"/>
        </w:rPr>
        <w:t xml:space="preserve">rak było również protokołów odbioru wykonanych usług lub robót, a opisy faktur miały charakter ogólny i nie pozwalały na jednoznaczne ustalenie zakresu wykonanych </w:t>
      </w:r>
      <w:r>
        <w:rPr>
          <w:rFonts w:cstheme="minorHAnsi"/>
          <w:sz w:val="24"/>
          <w:szCs w:val="24"/>
        </w:rPr>
        <w:t>zadań i usług</w:t>
      </w:r>
      <w:r w:rsidRPr="00B64A57">
        <w:rPr>
          <w:rFonts w:cstheme="minorHAnsi"/>
          <w:sz w:val="24"/>
          <w:szCs w:val="24"/>
        </w:rPr>
        <w:t>.</w:t>
      </w:r>
    </w:p>
    <w:p w14:paraId="26874579" w14:textId="77777777" w:rsidR="008B4CC1" w:rsidRPr="00B64A57" w:rsidRDefault="008B4CC1" w:rsidP="008B4CC1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B64A57">
        <w:rPr>
          <w:rFonts w:cstheme="minorHAnsi"/>
          <w:sz w:val="24"/>
          <w:szCs w:val="24"/>
        </w:rPr>
        <w:t>Kontrola wykazała brak odrębnej polityki rachunkowości właściwej dla samorządowej instytucji kultury. Jednostka posługiwała się dokumentacją opracowaną dla inn</w:t>
      </w:r>
      <w:r>
        <w:rPr>
          <w:rFonts w:cstheme="minorHAnsi"/>
          <w:sz w:val="24"/>
          <w:szCs w:val="24"/>
        </w:rPr>
        <w:t>ych</w:t>
      </w:r>
      <w:r w:rsidRPr="00B64A57">
        <w:rPr>
          <w:rFonts w:cstheme="minorHAnsi"/>
          <w:sz w:val="24"/>
          <w:szCs w:val="24"/>
        </w:rPr>
        <w:t xml:space="preserve"> jednost</w:t>
      </w:r>
      <w:r>
        <w:rPr>
          <w:rFonts w:cstheme="minorHAnsi"/>
          <w:sz w:val="24"/>
          <w:szCs w:val="24"/>
        </w:rPr>
        <w:t>ek</w:t>
      </w:r>
      <w:r w:rsidRPr="00B64A57">
        <w:rPr>
          <w:rFonts w:cstheme="minorHAnsi"/>
          <w:sz w:val="24"/>
          <w:szCs w:val="24"/>
        </w:rPr>
        <w:t xml:space="preserve"> organizacyj</w:t>
      </w:r>
      <w:r>
        <w:rPr>
          <w:rFonts w:cstheme="minorHAnsi"/>
          <w:sz w:val="24"/>
          <w:szCs w:val="24"/>
        </w:rPr>
        <w:t>nych</w:t>
      </w:r>
      <w:r w:rsidRPr="00B64A57">
        <w:rPr>
          <w:rFonts w:cstheme="minorHAnsi"/>
          <w:sz w:val="24"/>
          <w:szCs w:val="24"/>
        </w:rPr>
        <w:t xml:space="preserve"> gminy, co </w:t>
      </w:r>
      <w:r>
        <w:rPr>
          <w:rFonts w:cstheme="minorHAnsi"/>
          <w:sz w:val="24"/>
          <w:szCs w:val="24"/>
        </w:rPr>
        <w:t xml:space="preserve">pozostaje </w:t>
      </w:r>
      <w:r w:rsidRPr="00B64A57">
        <w:rPr>
          <w:rFonts w:cstheme="minorHAnsi"/>
          <w:sz w:val="24"/>
          <w:szCs w:val="24"/>
        </w:rPr>
        <w:t>w sprzeczności z przepisami ustawy o rachunkowości nakładającymi obowiązek dostosowania zasad rachunkowości do specyfiki danej jednostki.</w:t>
      </w:r>
    </w:p>
    <w:p w14:paraId="2E80FAF7" w14:textId="77777777" w:rsidR="008B4CC1" w:rsidRDefault="008B4CC1" w:rsidP="008B4CC1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Pr="00B64A57">
        <w:rPr>
          <w:rFonts w:cstheme="minorHAnsi"/>
          <w:sz w:val="24"/>
          <w:szCs w:val="24"/>
        </w:rPr>
        <w:t>W obszarze zamówień</w:t>
      </w:r>
      <w:r>
        <w:rPr>
          <w:rFonts w:cstheme="minorHAnsi"/>
          <w:sz w:val="24"/>
          <w:szCs w:val="24"/>
        </w:rPr>
        <w:t xml:space="preserve"> publicznych</w:t>
      </w:r>
      <w:r w:rsidRPr="00B64A57">
        <w:rPr>
          <w:rFonts w:cstheme="minorHAnsi"/>
          <w:sz w:val="24"/>
          <w:szCs w:val="24"/>
        </w:rPr>
        <w:t xml:space="preserve"> stwierdzono realizacj</w:t>
      </w:r>
      <w:r>
        <w:rPr>
          <w:rFonts w:cstheme="minorHAnsi"/>
          <w:sz w:val="24"/>
          <w:szCs w:val="24"/>
        </w:rPr>
        <w:t>ę</w:t>
      </w:r>
      <w:r w:rsidRPr="00B64A57">
        <w:rPr>
          <w:rFonts w:cstheme="minorHAnsi"/>
          <w:sz w:val="24"/>
          <w:szCs w:val="24"/>
        </w:rPr>
        <w:t xml:space="preserve"> wydatków bez dokumentacji rozeznania rynku oraz bez sporządzenia dokumentów potwierdzających wybór wykonawcy. Brak dokumentacji postępowań zakupowych ogranicza możliwość weryfikacji, czy wydatki zostały poniesione zgodnie z zasadą gospodarności oraz przejrzystości.</w:t>
      </w:r>
    </w:p>
    <w:p w14:paraId="25289E90" w14:textId="77777777" w:rsidR="008B4CC1" w:rsidRDefault="008B4CC1" w:rsidP="008B4CC1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Wszystkie rejestry prowadzone przez ROKIS wymagają dostosowania do obowiązujących przepisów prawa, normujących ich prowadzenie i stosowanie w instytucji. </w:t>
      </w:r>
    </w:p>
    <w:p w14:paraId="2257C312" w14:textId="77777777" w:rsidR="008B4CC1" w:rsidRPr="00B64A57" w:rsidRDefault="008B4CC1" w:rsidP="008B4CC1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Umowy z kontrahentami sporządzone zawierają liczne błędy i nieprecyzyjne opisy. </w:t>
      </w:r>
    </w:p>
    <w:p w14:paraId="1BE34B54" w14:textId="77777777" w:rsidR="008B4CC1" w:rsidRDefault="008B4CC1" w:rsidP="008B4CC1">
      <w:pPr>
        <w:spacing w:after="0" w:line="240" w:lineRule="auto"/>
        <w:rPr>
          <w:rFonts w:eastAsia="Aptos" w:cstheme="minorHAnsi"/>
          <w:kern w:val="2"/>
          <w:sz w:val="24"/>
          <w:szCs w:val="24"/>
          <w14:ligatures w14:val="standardContextual"/>
        </w:rPr>
      </w:pPr>
      <w:r>
        <w:rPr>
          <w:rFonts w:eastAsia="Aptos" w:cstheme="minorHAnsi"/>
          <w:kern w:val="2"/>
          <w:sz w:val="24"/>
          <w:szCs w:val="24"/>
          <w14:ligatures w14:val="standardContextual"/>
        </w:rPr>
        <w:t>8. A</w:t>
      </w:r>
      <w:r w:rsidRPr="00184AE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naliza dokumentacji dotyczącej zawierania i realizacji umów udostępniania infrastruktury sportowej oraz nieruchomości stanowiących mienie Gminy Radzymin wykazała </w:t>
      </w:r>
      <w:r w:rsidRPr="00184AE0">
        <w:rPr>
          <w:rFonts w:eastAsia="Aptos" w:cstheme="minorHAnsi"/>
          <w:kern w:val="2"/>
          <w:sz w:val="24"/>
          <w:szCs w:val="24"/>
          <w14:ligatures w14:val="standardContextual"/>
        </w:rPr>
        <w:lastRenderedPageBreak/>
        <w:t>występowanie istotnych nieprawidłowości o charakterze powtarzalnym i systemowym. Stwierdzone uchybienia dotyczą w szczególności stosowania nieadekwatnych form prawnych przekazywania mienia komunalnego, braku jednolitych i przejrzystych zasad gospodarowania tym mieniem, niewystarczającego zabezpieczenia interesu właścicielskiego Gminy oraz ograniczonych mechanizmów kontroli i sprawozdawczości.</w:t>
      </w:r>
      <w:r w:rsidR="005B276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Pr="00184AE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Analiza wykazała, że w badanych umowach następowało przenoszenie na biorących w używanie obowiązków wykraczających poza ustawowy model użyczenia, w tym obowiązków o charakterze właścicielskim 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Pr="00184AE0">
        <w:rPr>
          <w:rFonts w:eastAsia="Aptos" w:cstheme="minorHAnsi"/>
          <w:kern w:val="2"/>
          <w:sz w:val="24"/>
          <w:szCs w:val="24"/>
          <w14:ligatures w14:val="standardContextual"/>
        </w:rPr>
        <w:t>i zarządczym, bez jednoczesnego zastosowania form prawnych właściwych dla trwałego zarządzania mieniem komunalnym. Ponadto w dokumentacji umownej brakowało precyzyjnego określenia przedmiotu umów, dokumentacji stanu technicznego przekazywanego mienia, zasad rozliczeń finansowych oraz narzędzi umożliwiających bieżącą kontrolę sposobu jego wykorzystywania.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Pr="00184AE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Zakres i powtarzalność stwierdzonych nieprawidłowości 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 xml:space="preserve">w tym obszarze </w:t>
      </w:r>
      <w:r w:rsidRPr="00184AE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wskazują na potrzebę podjęcia działań naprawczych 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Pr="00184AE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o charakterze systemowym, zmierzających do uporządkowania zasad udostępniania 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Pr="00184AE0">
        <w:rPr>
          <w:rFonts w:eastAsia="Aptos" w:cstheme="minorHAnsi"/>
          <w:kern w:val="2"/>
          <w:sz w:val="24"/>
          <w:szCs w:val="24"/>
          <w14:ligatures w14:val="standardContextual"/>
        </w:rPr>
        <w:t>i zarządzania mieniem komunalnym w sposób jednolity, transparentny oraz zapewniający skuteczną kontrolę właścicielską Gminy, zgodnie z zasadami gospodarności, przejrzystości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br/>
      </w:r>
      <w:r w:rsidRPr="00184AE0">
        <w:rPr>
          <w:rFonts w:eastAsia="Aptos" w:cstheme="minorHAnsi"/>
          <w:kern w:val="2"/>
          <w:sz w:val="24"/>
          <w:szCs w:val="24"/>
          <w14:ligatures w14:val="standardContextual"/>
        </w:rPr>
        <w:t>i kontroli zarządczej.</w:t>
      </w:r>
    </w:p>
    <w:p w14:paraId="79CD9B6C" w14:textId="77777777" w:rsidR="008B4CC1" w:rsidRDefault="008B4CC1" w:rsidP="0069660E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FD06A21" w14:textId="77777777" w:rsidR="008B4CC1" w:rsidRDefault="008B4CC1" w:rsidP="008B4CC1">
      <w:pPr>
        <w:spacing w:after="0" w:line="24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Zalecenia pokontrolne</w:t>
      </w:r>
      <w:r w:rsidR="004E0AC9">
        <w:rPr>
          <w:b/>
          <w:bCs/>
          <w:sz w:val="28"/>
          <w:szCs w:val="28"/>
        </w:rPr>
        <w:t>:</w:t>
      </w:r>
    </w:p>
    <w:p w14:paraId="59846368" w14:textId="77777777" w:rsidR="004E0AC9" w:rsidRDefault="004E0AC9" w:rsidP="008B4CC1">
      <w:pPr>
        <w:spacing w:after="0" w:line="240" w:lineRule="auto"/>
        <w:jc w:val="left"/>
        <w:rPr>
          <w:b/>
          <w:bCs/>
          <w:sz w:val="28"/>
          <w:szCs w:val="28"/>
        </w:rPr>
      </w:pPr>
    </w:p>
    <w:p w14:paraId="46E66A71" w14:textId="77777777" w:rsidR="0069660E" w:rsidRDefault="0069660E" w:rsidP="0069660E">
      <w:pPr>
        <w:pStyle w:val="Akapitzlist"/>
        <w:numPr>
          <w:ilvl w:val="3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69660E">
        <w:rPr>
          <w:rFonts w:ascii="Times New Roman" w:eastAsia="Times New Roman" w:hAnsi="Times New Roman" w:cs="Times New Roman"/>
          <w:lang w:eastAsia="pl-PL"/>
        </w:rPr>
        <w:t>Dokonanie analizy zakresu działalności Radzymińskiego Ośrodka Kultury i Sportu pod kątem zgodności z przepisami regulującymi działalność samorządowych instytucji kultury.</w:t>
      </w:r>
    </w:p>
    <w:p w14:paraId="108E4CD7" w14:textId="77777777" w:rsidR="008B4CC1" w:rsidRPr="0069660E" w:rsidRDefault="008B4CC1" w:rsidP="008B4CC1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269B23" w14:textId="77777777" w:rsidR="0069660E" w:rsidRDefault="0069660E" w:rsidP="0069660E">
      <w:pPr>
        <w:pStyle w:val="Akapitzlist"/>
        <w:numPr>
          <w:ilvl w:val="3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69660E">
        <w:rPr>
          <w:rFonts w:ascii="Times New Roman" w:eastAsia="Times New Roman" w:hAnsi="Times New Roman" w:cs="Times New Roman"/>
          <w:lang w:eastAsia="pl-PL"/>
        </w:rPr>
        <w:t>Opracowanie i wdrożenie odrębnej polityki rachunkowości oraz instrukcji obiegu dokumentów księgowych właściwej dla samorządowej instytucji kultury.</w:t>
      </w:r>
    </w:p>
    <w:p w14:paraId="6A1A6F0B" w14:textId="77777777" w:rsidR="008B4CC1" w:rsidRPr="0069660E" w:rsidRDefault="008B4CC1" w:rsidP="008B4CC1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22F754" w14:textId="77777777" w:rsidR="0069660E" w:rsidRDefault="0069660E" w:rsidP="0069660E">
      <w:pPr>
        <w:pStyle w:val="Akapitzlist"/>
        <w:numPr>
          <w:ilvl w:val="3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69660E">
        <w:rPr>
          <w:rFonts w:ascii="Times New Roman" w:eastAsia="Times New Roman" w:hAnsi="Times New Roman" w:cs="Times New Roman"/>
          <w:lang w:eastAsia="pl-PL"/>
        </w:rPr>
        <w:t xml:space="preserve">Wprowadzenie obowiązku dokumentowania zamówień oraz sporządzania protokołów </w:t>
      </w:r>
      <w:r w:rsidR="008B4CC1">
        <w:rPr>
          <w:rFonts w:ascii="Times New Roman" w:eastAsia="Times New Roman" w:hAnsi="Times New Roman" w:cs="Times New Roman"/>
          <w:lang w:eastAsia="pl-PL"/>
        </w:rPr>
        <w:t>odbioru usług i robót.</w:t>
      </w:r>
    </w:p>
    <w:p w14:paraId="3F770E6F" w14:textId="77777777" w:rsidR="008B4CC1" w:rsidRPr="0069660E" w:rsidRDefault="008B4CC1" w:rsidP="008B4CC1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7185A6" w14:textId="77777777" w:rsidR="0069660E" w:rsidRDefault="0069660E" w:rsidP="0069660E">
      <w:pPr>
        <w:pStyle w:val="Akapitzlist"/>
        <w:numPr>
          <w:ilvl w:val="3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69660E">
        <w:rPr>
          <w:rFonts w:ascii="Times New Roman" w:eastAsia="Times New Roman" w:hAnsi="Times New Roman" w:cs="Times New Roman"/>
          <w:lang w:eastAsia="pl-PL"/>
        </w:rPr>
        <w:t>Uporządkowanie procedur zakupowych poprzez zapewnienie dokumentowania rozeznania rynku oraz wyboru wykonawców.</w:t>
      </w:r>
    </w:p>
    <w:p w14:paraId="7F211C86" w14:textId="77777777" w:rsidR="008B4CC1" w:rsidRPr="0069660E" w:rsidRDefault="008B4CC1" w:rsidP="008B4CC1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503E1C" w14:textId="77777777" w:rsidR="0069660E" w:rsidRDefault="0069660E" w:rsidP="0069660E">
      <w:pPr>
        <w:pStyle w:val="Akapitzlist"/>
        <w:numPr>
          <w:ilvl w:val="3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69660E">
        <w:rPr>
          <w:rFonts w:ascii="Times New Roman" w:eastAsia="Times New Roman" w:hAnsi="Times New Roman" w:cs="Times New Roman"/>
          <w:lang w:eastAsia="pl-PL"/>
        </w:rPr>
        <w:t>Wprowadzenie rocznego planowania działalności statutowej powiązanego z planem finansowym jednostki.</w:t>
      </w:r>
    </w:p>
    <w:p w14:paraId="056B94B6" w14:textId="77777777" w:rsidR="008B4CC1" w:rsidRPr="0069660E" w:rsidRDefault="008B4CC1" w:rsidP="008B4CC1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0B34CA1C" w14:textId="77777777" w:rsidR="0069660E" w:rsidRDefault="0069660E" w:rsidP="0069660E">
      <w:pPr>
        <w:pStyle w:val="Akapitzlist"/>
        <w:numPr>
          <w:ilvl w:val="3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69660E">
        <w:rPr>
          <w:rFonts w:ascii="Times New Roman" w:eastAsia="Times New Roman" w:hAnsi="Times New Roman" w:cs="Times New Roman"/>
          <w:lang w:eastAsia="pl-PL"/>
        </w:rPr>
        <w:t xml:space="preserve">Wprowadzenie obowiązku prowadzenia właściwych rejestrów umów, zapytań ofertowych – zamówień publicznych, z zachowaniem zasad transparentności i warunków ustawy </w:t>
      </w:r>
      <w:r w:rsidRPr="0069660E">
        <w:rPr>
          <w:rFonts w:ascii="Times New Roman" w:eastAsia="Times New Roman" w:hAnsi="Times New Roman" w:cs="Times New Roman"/>
          <w:lang w:eastAsia="pl-PL"/>
        </w:rPr>
        <w:br/>
        <w:t xml:space="preserve">o dostępie do informacji publicznej. </w:t>
      </w:r>
    </w:p>
    <w:p w14:paraId="033A4C4C" w14:textId="77777777" w:rsidR="008B4CC1" w:rsidRPr="0069660E" w:rsidRDefault="008B4CC1" w:rsidP="008B4CC1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6E8DB4F5" w14:textId="77777777" w:rsidR="0069660E" w:rsidRDefault="0069660E" w:rsidP="0069660E">
      <w:pPr>
        <w:pStyle w:val="Akapitzlist"/>
        <w:numPr>
          <w:ilvl w:val="3"/>
          <w:numId w:val="1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69660E">
        <w:rPr>
          <w:rFonts w:ascii="Times New Roman" w:eastAsia="Times New Roman" w:hAnsi="Times New Roman" w:cs="Times New Roman"/>
          <w:lang w:eastAsia="pl-PL"/>
        </w:rPr>
        <w:t xml:space="preserve">Wprowadzenie procedur poświadczenia zdolności podmiotu do zaciągania zobowiązań poprzez kontrasygnatę głównego księgowego na umowach zawieranych z kontrahentami oraz formalno-prawnego potwierdzania umów przez radcę prawnego. </w:t>
      </w:r>
    </w:p>
    <w:p w14:paraId="4D64016F" w14:textId="77777777" w:rsidR="004E0AC9" w:rsidRPr="0069660E" w:rsidRDefault="004E0AC9" w:rsidP="004E0AC9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97D56C" w14:textId="77777777" w:rsidR="0069660E" w:rsidRPr="0069660E" w:rsidRDefault="0069660E" w:rsidP="0069660E">
      <w:pPr>
        <w:pStyle w:val="Akapitzlist"/>
        <w:numPr>
          <w:ilvl w:val="3"/>
          <w:numId w:val="1"/>
        </w:numPr>
        <w:spacing w:after="0" w:line="276" w:lineRule="auto"/>
        <w:ind w:left="284"/>
        <w:jc w:val="both"/>
        <w:rPr>
          <w:rFonts w:ascii="Times New Roman" w:eastAsia="Aptos" w:hAnsi="Times New Roman" w:cs="Times New Roman"/>
        </w:rPr>
      </w:pPr>
      <w:r w:rsidRPr="0069660E">
        <w:rPr>
          <w:rFonts w:ascii="Times New Roman" w:eastAsia="Times New Roman" w:hAnsi="Times New Roman" w:cs="Times New Roman"/>
          <w:lang w:eastAsia="pl-PL"/>
        </w:rPr>
        <w:t>U</w:t>
      </w:r>
      <w:r w:rsidRPr="0069660E">
        <w:rPr>
          <w:rFonts w:ascii="Times New Roman" w:eastAsia="Aptos" w:hAnsi="Times New Roman" w:cs="Times New Roman"/>
        </w:rPr>
        <w:t>porządkowanie zasad udostępniania i zarządzania mieniem komunalnym w sposób jednolity, transparentny oraz zapewniający skuteczną kontrolę właścicielską Gminy, zgodnie z zasadami gospodarności, przejrzystości i kontroli zarządczej.</w:t>
      </w:r>
    </w:p>
    <w:p w14:paraId="2BE33866" w14:textId="77777777" w:rsidR="0069660E" w:rsidRPr="0069660E" w:rsidRDefault="0069660E" w:rsidP="0069660E">
      <w:pPr>
        <w:spacing w:before="100" w:beforeAutospacing="1" w:after="0" w:line="276" w:lineRule="auto"/>
        <w:jc w:val="center"/>
        <w:rPr>
          <w:b/>
          <w:bCs/>
          <w:sz w:val="24"/>
          <w:szCs w:val="24"/>
        </w:rPr>
      </w:pPr>
    </w:p>
    <w:p w14:paraId="46F76251" w14:textId="77777777" w:rsidR="0069660E" w:rsidRPr="0069660E" w:rsidRDefault="0069660E" w:rsidP="0069660E">
      <w:pPr>
        <w:spacing w:after="0" w:line="276" w:lineRule="auto"/>
        <w:rPr>
          <w:sz w:val="24"/>
          <w:szCs w:val="24"/>
        </w:rPr>
      </w:pPr>
    </w:p>
    <w:p w14:paraId="1B839F49" w14:textId="77777777" w:rsidR="004E0AC9" w:rsidRPr="004E0AC9" w:rsidRDefault="004E0AC9" w:rsidP="0069660E">
      <w:pPr>
        <w:spacing w:after="0" w:line="276" w:lineRule="auto"/>
        <w:rPr>
          <w:b/>
          <w:sz w:val="28"/>
          <w:szCs w:val="24"/>
        </w:rPr>
      </w:pPr>
      <w:r w:rsidRPr="004E0AC9">
        <w:rPr>
          <w:b/>
          <w:sz w:val="28"/>
          <w:szCs w:val="24"/>
        </w:rPr>
        <w:t xml:space="preserve">Podsumowanie:  </w:t>
      </w:r>
    </w:p>
    <w:p w14:paraId="23826F8A" w14:textId="77777777" w:rsidR="004E0AC9" w:rsidRPr="004E0AC9" w:rsidRDefault="004E0AC9" w:rsidP="0069660E">
      <w:pPr>
        <w:spacing w:after="0" w:line="276" w:lineRule="auto"/>
        <w:rPr>
          <w:b/>
          <w:sz w:val="24"/>
          <w:szCs w:val="24"/>
        </w:rPr>
      </w:pPr>
    </w:p>
    <w:p w14:paraId="5DFDC790" w14:textId="77777777" w:rsidR="0069660E" w:rsidRPr="008B4CC1" w:rsidRDefault="0069660E" w:rsidP="0069660E">
      <w:pPr>
        <w:spacing w:after="0" w:line="276" w:lineRule="auto"/>
        <w:rPr>
          <w:sz w:val="24"/>
          <w:szCs w:val="24"/>
        </w:rPr>
      </w:pPr>
      <w:r w:rsidRPr="0069660E">
        <w:rPr>
          <w:sz w:val="24"/>
          <w:szCs w:val="24"/>
        </w:rPr>
        <w:t xml:space="preserve">Charakter oraz skala stwierdzonych nieprawidłowości wskazują na potrzebę podjęcia </w:t>
      </w:r>
      <w:r w:rsidR="008B4CC1">
        <w:rPr>
          <w:sz w:val="24"/>
          <w:szCs w:val="24"/>
        </w:rPr>
        <w:t xml:space="preserve">pilnych </w:t>
      </w:r>
      <w:r w:rsidRPr="0069660E">
        <w:rPr>
          <w:sz w:val="24"/>
          <w:szCs w:val="24"/>
        </w:rPr>
        <w:t xml:space="preserve">działań naprawczych w zakresie organizacji gospodarki finansowej i działalności statutowej jednostki. W ocenie Komisji ustalenia kontroli mogą wymagać pogłębionej analizy przez właściwe organy nadzoru finansowego. </w:t>
      </w:r>
      <w:r w:rsidRPr="008B4CC1">
        <w:rPr>
          <w:bCs/>
          <w:sz w:val="24"/>
          <w:szCs w:val="24"/>
        </w:rPr>
        <w:t xml:space="preserve">Zalecane podjęcie czynności sprawdzających </w:t>
      </w:r>
      <w:r w:rsidR="008B4CC1">
        <w:rPr>
          <w:bCs/>
          <w:sz w:val="24"/>
          <w:szCs w:val="24"/>
        </w:rPr>
        <w:br/>
      </w:r>
      <w:r w:rsidRPr="008B4CC1">
        <w:rPr>
          <w:bCs/>
          <w:sz w:val="24"/>
          <w:szCs w:val="24"/>
        </w:rPr>
        <w:t xml:space="preserve">w zakresie ustaleń komisji rewizyjnej  z działalności ROKIS za rok 2026.  </w:t>
      </w:r>
    </w:p>
    <w:p w14:paraId="6BDDD59F" w14:textId="77777777" w:rsidR="00631DA6" w:rsidRPr="00631DA6" w:rsidRDefault="00631DA6" w:rsidP="00631DA6">
      <w:pPr>
        <w:spacing w:after="134"/>
        <w:ind w:left="7" w:right="7" w:hanging="7"/>
        <w:rPr>
          <w:sz w:val="32"/>
          <w:szCs w:val="24"/>
        </w:rPr>
      </w:pPr>
    </w:p>
    <w:p w14:paraId="38592DB2" w14:textId="77777777" w:rsidR="00631DA6" w:rsidRPr="00631DA6" w:rsidRDefault="00631DA6" w:rsidP="00631DA6">
      <w:pPr>
        <w:spacing w:after="134"/>
        <w:ind w:left="142" w:right="7" w:hanging="7"/>
        <w:rPr>
          <w:b/>
          <w:sz w:val="32"/>
          <w:szCs w:val="24"/>
        </w:rPr>
      </w:pPr>
      <w:r w:rsidRPr="00631DA6">
        <w:rPr>
          <w:b/>
          <w:sz w:val="24"/>
        </w:rPr>
        <w:t xml:space="preserve">Określa się termin wykonania zaleceń zawartych w wystąpieniu pokontrolnym Komisji Rewizyjnej Rady Miejskiej w Radzyminie na dzień 11 września 2026 r. </w:t>
      </w:r>
    </w:p>
    <w:p w14:paraId="503AE619" w14:textId="77777777" w:rsidR="00631DA6" w:rsidRDefault="00631DA6" w:rsidP="00631DA6">
      <w:pPr>
        <w:spacing w:after="134"/>
        <w:ind w:left="142" w:right="7" w:hanging="7"/>
        <w:rPr>
          <w:sz w:val="24"/>
          <w:szCs w:val="24"/>
        </w:rPr>
      </w:pPr>
    </w:p>
    <w:p w14:paraId="7E9A1E27" w14:textId="77777777" w:rsidR="009D10B1" w:rsidRDefault="009D10B1">
      <w:pPr>
        <w:rPr>
          <w:sz w:val="24"/>
          <w:szCs w:val="24"/>
        </w:rPr>
      </w:pPr>
    </w:p>
    <w:p w14:paraId="7983AC89" w14:textId="77777777" w:rsidR="00631DA6" w:rsidRDefault="00631DA6">
      <w:pPr>
        <w:rPr>
          <w:sz w:val="24"/>
          <w:szCs w:val="24"/>
        </w:rPr>
      </w:pPr>
    </w:p>
    <w:p w14:paraId="4B7EF30A" w14:textId="77777777" w:rsidR="00631DA6" w:rsidRDefault="00631DA6">
      <w:pPr>
        <w:rPr>
          <w:sz w:val="24"/>
          <w:szCs w:val="24"/>
        </w:rPr>
      </w:pPr>
    </w:p>
    <w:p w14:paraId="603E966E" w14:textId="77777777" w:rsidR="009D10B1" w:rsidRDefault="009D10B1">
      <w:pPr>
        <w:rPr>
          <w:sz w:val="24"/>
          <w:szCs w:val="24"/>
        </w:rPr>
      </w:pPr>
    </w:p>
    <w:p w14:paraId="5C1DE4F5" w14:textId="77777777" w:rsidR="009D10B1" w:rsidRDefault="009D10B1">
      <w:pPr>
        <w:rPr>
          <w:sz w:val="24"/>
          <w:szCs w:val="24"/>
        </w:rPr>
      </w:pPr>
    </w:p>
    <w:sectPr w:rsidR="009D1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C0A03"/>
    <w:multiLevelType w:val="hybridMultilevel"/>
    <w:tmpl w:val="4140C11A"/>
    <w:lvl w:ilvl="0" w:tplc="B21AFC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EEE031C">
      <w:numFmt w:val="bullet"/>
      <w:lvlText w:val="•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7BACFA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E44FA"/>
    <w:multiLevelType w:val="hybridMultilevel"/>
    <w:tmpl w:val="3C781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D"/>
    <w:rsid w:val="000D3758"/>
    <w:rsid w:val="001D723E"/>
    <w:rsid w:val="002257EC"/>
    <w:rsid w:val="003C52C0"/>
    <w:rsid w:val="004A2E05"/>
    <w:rsid w:val="004C28A1"/>
    <w:rsid w:val="004E0AC9"/>
    <w:rsid w:val="005B2762"/>
    <w:rsid w:val="00631DA6"/>
    <w:rsid w:val="0069660E"/>
    <w:rsid w:val="008325EF"/>
    <w:rsid w:val="008447F3"/>
    <w:rsid w:val="0088146D"/>
    <w:rsid w:val="008B4CC1"/>
    <w:rsid w:val="008F0F6F"/>
    <w:rsid w:val="009425C3"/>
    <w:rsid w:val="009D10B1"/>
    <w:rsid w:val="00D3285A"/>
    <w:rsid w:val="00D4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7290"/>
  <w15:chartTrackingRefBased/>
  <w15:docId w15:val="{99360585-C334-4A42-A2E8-691DF903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46D"/>
    <w:pPr>
      <w:spacing w:after="108" w:line="249" w:lineRule="auto"/>
      <w:ind w:left="96" w:hanging="10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F0F6F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F6F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F0F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F0F6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69660E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69660E"/>
    <w:rPr>
      <w:b/>
      <w:bCs/>
    </w:rPr>
  </w:style>
  <w:style w:type="table" w:styleId="Tabela-Siatka">
    <w:name w:val="Table Grid"/>
    <w:basedOn w:val="Standardowy"/>
    <w:uiPriority w:val="39"/>
    <w:rsid w:val="00696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9660E"/>
    <w:pPr>
      <w:spacing w:after="0" w:line="240" w:lineRule="auto"/>
    </w:pPr>
    <w:rPr>
      <w:rFonts w:ascii="Calibri" w:hAnsi="Calibri" w:cs="Calibri"/>
    </w:rPr>
  </w:style>
  <w:style w:type="paragraph" w:styleId="Tekstpodstawowy">
    <w:name w:val="Body Text"/>
    <w:basedOn w:val="Normalny"/>
    <w:link w:val="TekstpodstawowyZnak"/>
    <w:semiHidden/>
    <w:rsid w:val="009D10B1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D10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1179</Words>
  <Characters>7080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EK. Kowalska</dc:creator>
  <cp:keywords/>
  <dc:description/>
  <cp:lastModifiedBy>Ewa EK. Kowalska</cp:lastModifiedBy>
  <cp:revision>2</cp:revision>
  <cp:lastPrinted>2026-05-19T08:33:00Z</cp:lastPrinted>
  <dcterms:created xsi:type="dcterms:W3CDTF">2026-05-25T12:11:00Z</dcterms:created>
  <dcterms:modified xsi:type="dcterms:W3CDTF">2026-05-25T12:11:00Z</dcterms:modified>
</cp:coreProperties>
</file>